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24" w:type="dxa"/>
        <w:tblLayout w:type="fixed"/>
        <w:tblCellMar>
          <w:left w:w="0" w:type="dxa"/>
          <w:right w:w="0" w:type="dxa"/>
        </w:tblCellMar>
        <w:tblLook w:val="04A0" w:firstRow="1" w:lastRow="0" w:firstColumn="1" w:lastColumn="0" w:noHBand="0" w:noVBand="1"/>
      </w:tblPr>
      <w:tblGrid>
        <w:gridCol w:w="1124"/>
        <w:gridCol w:w="1701"/>
        <w:gridCol w:w="1985"/>
        <w:gridCol w:w="3402"/>
        <w:gridCol w:w="2693"/>
        <w:gridCol w:w="1559"/>
        <w:gridCol w:w="1560"/>
      </w:tblGrid>
      <w:tr w:rsidR="00D9188F" w:rsidRPr="00C23AB7" w:rsidTr="00326EA4">
        <w:trPr>
          <w:trHeight w:val="4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rsidR="00D9188F" w:rsidRPr="008A6BDC" w:rsidRDefault="00D9188F" w:rsidP="00E0503B">
            <w:pPr>
              <w:pStyle w:val="NoSpacing"/>
              <w:rPr>
                <w:b/>
                <w:sz w:val="20"/>
                <w:szCs w:val="20"/>
              </w:rPr>
            </w:pPr>
            <w:r w:rsidRPr="008A6BDC">
              <w:rPr>
                <w:b/>
                <w:sz w:val="20"/>
                <w:szCs w:val="20"/>
              </w:rPr>
              <w:t xml:space="preserve">Dates Delivered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rsidR="00D9188F" w:rsidRDefault="00D9188F" w:rsidP="00E0503B">
            <w:pPr>
              <w:pStyle w:val="NoSpacing"/>
              <w:rPr>
                <w:b/>
                <w:sz w:val="20"/>
                <w:szCs w:val="20"/>
              </w:rPr>
            </w:pPr>
            <w:r w:rsidRPr="008A6BDC">
              <w:rPr>
                <w:b/>
                <w:sz w:val="20"/>
                <w:szCs w:val="20"/>
              </w:rPr>
              <w:t xml:space="preserve">Unit Title </w:t>
            </w:r>
          </w:p>
          <w:p w:rsidR="00326EA4" w:rsidRPr="008A6BDC" w:rsidRDefault="00326EA4" w:rsidP="00E0503B">
            <w:pPr>
              <w:pStyle w:val="NoSpacing"/>
              <w:rPr>
                <w:b/>
                <w:sz w:val="20"/>
                <w:szCs w:val="20"/>
              </w:rPr>
            </w:pPr>
            <w:r>
              <w:rPr>
                <w:b/>
                <w:sz w:val="20"/>
                <w:szCs w:val="20"/>
              </w:rPr>
              <w:t xml:space="preserve">Comp 3 Health and wellbeing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0" w:type="dxa"/>
              <w:bottom w:w="0" w:type="dxa"/>
              <w:right w:w="100" w:type="dxa"/>
            </w:tcMar>
            <w:vAlign w:val="center"/>
            <w:hideMark/>
          </w:tcPr>
          <w:p w:rsidR="00D9188F" w:rsidRPr="008A6BDC" w:rsidRDefault="00D9188F" w:rsidP="00E0503B">
            <w:pPr>
              <w:pStyle w:val="NoSpacing"/>
              <w:rPr>
                <w:b/>
                <w:sz w:val="20"/>
                <w:szCs w:val="20"/>
              </w:rPr>
            </w:pPr>
            <w:r w:rsidRPr="008A6BDC">
              <w:rPr>
                <w:b/>
                <w:sz w:val="20"/>
                <w:szCs w:val="20"/>
              </w:rPr>
              <w:t xml:space="preserve">End Points </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rsidR="00D9188F" w:rsidRPr="008A6BDC" w:rsidRDefault="00D9188F" w:rsidP="00E0503B">
            <w:pPr>
              <w:pStyle w:val="NoSpacing"/>
              <w:rPr>
                <w:b/>
                <w:sz w:val="20"/>
                <w:szCs w:val="20"/>
              </w:rPr>
            </w:pPr>
            <w:r w:rsidRPr="008A6BDC">
              <w:rPr>
                <w:b/>
                <w:sz w:val="20"/>
                <w:szCs w:val="20"/>
              </w:rPr>
              <w:t>Substantive Knowledge </w:t>
            </w:r>
          </w:p>
          <w:p w:rsidR="00D9188F" w:rsidRPr="008A6BDC" w:rsidRDefault="00D9188F" w:rsidP="00E0503B">
            <w:pPr>
              <w:pStyle w:val="NoSpacing"/>
              <w:rPr>
                <w:b/>
                <w:sz w:val="20"/>
                <w:szCs w:val="20"/>
              </w:rPr>
            </w:pPr>
            <w:r w:rsidRPr="008A6BDC">
              <w:rPr>
                <w:b/>
                <w:sz w:val="20"/>
                <w:szCs w:val="20"/>
              </w:rPr>
              <w:t> </w:t>
            </w:r>
          </w:p>
          <w:p w:rsidR="00D9188F" w:rsidRPr="008A6BDC" w:rsidRDefault="00D9188F" w:rsidP="00E0503B">
            <w:pPr>
              <w:pStyle w:val="NoSpacing"/>
              <w:rPr>
                <w:b/>
                <w:sz w:val="20"/>
                <w:szCs w:val="20"/>
              </w:rPr>
            </w:pPr>
            <w:r w:rsidRPr="008A6BDC">
              <w:rPr>
                <w:b/>
                <w:sz w:val="20"/>
                <w:szCs w:val="20"/>
              </w:rPr>
              <w:t xml:space="preserve">What will they learn about in this topic? </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hideMark/>
          </w:tcPr>
          <w:p w:rsidR="00D9188F" w:rsidRPr="008A6BDC" w:rsidRDefault="00D9188F" w:rsidP="00E0503B">
            <w:pPr>
              <w:pStyle w:val="NoSpacing"/>
              <w:rPr>
                <w:b/>
                <w:sz w:val="20"/>
                <w:szCs w:val="20"/>
              </w:rPr>
            </w:pPr>
            <w:r w:rsidRPr="008A6BDC">
              <w:rPr>
                <w:b/>
                <w:sz w:val="20"/>
                <w:szCs w:val="20"/>
              </w:rPr>
              <w:t>Disciplinary Knowledge</w:t>
            </w:r>
          </w:p>
          <w:p w:rsidR="00D9188F" w:rsidRPr="008A6BDC" w:rsidRDefault="00D9188F" w:rsidP="00E0503B">
            <w:pPr>
              <w:pStyle w:val="NoSpacing"/>
              <w:rPr>
                <w:b/>
                <w:sz w:val="20"/>
                <w:szCs w:val="20"/>
              </w:rPr>
            </w:pPr>
            <w:r w:rsidRPr="008A6BDC">
              <w:rPr>
                <w:b/>
                <w:sz w:val="20"/>
                <w:szCs w:val="20"/>
              </w:rPr>
              <w:t> </w:t>
            </w:r>
          </w:p>
          <w:p w:rsidR="00D9188F" w:rsidRPr="008A6BDC" w:rsidRDefault="00D9188F" w:rsidP="00E0503B">
            <w:pPr>
              <w:pStyle w:val="NoSpacing"/>
              <w:rPr>
                <w:b/>
                <w:sz w:val="20"/>
                <w:szCs w:val="20"/>
              </w:rPr>
            </w:pPr>
            <w:r w:rsidRPr="008A6BDC">
              <w:rPr>
                <w:b/>
                <w:sz w:val="20"/>
                <w:szCs w:val="20"/>
              </w:rPr>
              <w:t xml:space="preserve">What subject concepts will be developed through this topic?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rsidR="00D9188F" w:rsidRPr="008A6BDC" w:rsidRDefault="00D9188F" w:rsidP="00E0503B">
            <w:pPr>
              <w:pStyle w:val="NoSpacing"/>
              <w:rPr>
                <w:b/>
                <w:sz w:val="20"/>
                <w:szCs w:val="20"/>
              </w:rPr>
            </w:pPr>
            <w:r w:rsidRPr="008A6BDC">
              <w:rPr>
                <w:b/>
                <w:sz w:val="20"/>
                <w:szCs w:val="20"/>
              </w:rPr>
              <w:t xml:space="preserve">Assessment Method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rsidR="00D9188F" w:rsidRPr="008A6BDC" w:rsidRDefault="00D9188F" w:rsidP="00E0503B">
            <w:pPr>
              <w:pStyle w:val="NoSpacing"/>
              <w:rPr>
                <w:b/>
                <w:sz w:val="20"/>
                <w:szCs w:val="20"/>
              </w:rPr>
            </w:pPr>
            <w:r w:rsidRPr="008A6BDC">
              <w:rPr>
                <w:b/>
                <w:sz w:val="20"/>
                <w:szCs w:val="20"/>
              </w:rPr>
              <w:t xml:space="preserve">Key Course Guides &amp; </w:t>
            </w:r>
          </w:p>
          <w:p w:rsidR="00D9188F" w:rsidRPr="008A6BDC" w:rsidRDefault="00D9188F" w:rsidP="00E0503B">
            <w:pPr>
              <w:pStyle w:val="NoSpacing"/>
              <w:rPr>
                <w:b/>
                <w:sz w:val="20"/>
                <w:szCs w:val="20"/>
              </w:rPr>
            </w:pPr>
            <w:r w:rsidRPr="008A6BDC">
              <w:rPr>
                <w:b/>
                <w:sz w:val="20"/>
                <w:szCs w:val="20"/>
              </w:rPr>
              <w:t xml:space="preserve">Reading </w:t>
            </w:r>
          </w:p>
          <w:p w:rsidR="00D9188F" w:rsidRPr="008A6BDC" w:rsidRDefault="00D9188F" w:rsidP="00E0503B">
            <w:pPr>
              <w:pStyle w:val="NoSpacing"/>
              <w:rPr>
                <w:b/>
                <w:sz w:val="20"/>
                <w:szCs w:val="20"/>
              </w:rPr>
            </w:pPr>
            <w:r w:rsidRPr="008A6BDC">
              <w:rPr>
                <w:b/>
                <w:sz w:val="20"/>
                <w:szCs w:val="20"/>
              </w:rPr>
              <w:t xml:space="preserve"> </w:t>
            </w:r>
          </w:p>
        </w:tc>
      </w:tr>
      <w:tr w:rsidR="00D9188F" w:rsidRPr="00C23AB7" w:rsidTr="00326EA4">
        <w:trPr>
          <w:trHeight w:val="1200"/>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rsidR="00D9188F" w:rsidRPr="00C23AB7" w:rsidRDefault="00326EA4" w:rsidP="00E0503B">
            <w:pPr>
              <w:pStyle w:val="NoSpacing"/>
              <w:rPr>
                <w:sz w:val="20"/>
                <w:szCs w:val="20"/>
              </w:rPr>
            </w:pPr>
            <w:r>
              <w:rPr>
                <w:sz w:val="20"/>
                <w:szCs w:val="20"/>
              </w:rPr>
              <w:t>Year 11</w:t>
            </w:r>
          </w:p>
          <w:p w:rsidR="00D9188F" w:rsidRPr="00C23AB7" w:rsidRDefault="00D9188F" w:rsidP="00E0503B">
            <w:pPr>
              <w:pStyle w:val="NoSpacing"/>
              <w:rPr>
                <w:sz w:val="20"/>
                <w:szCs w:val="20"/>
              </w:rPr>
            </w:pPr>
            <w:r w:rsidRPr="00C23AB7">
              <w:rPr>
                <w:sz w:val="20"/>
                <w:szCs w:val="20"/>
              </w:rPr>
              <w:t>Spring &amp; Summer Terms</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rsidR="00D9188F" w:rsidRPr="00326EA4" w:rsidRDefault="00326EA4" w:rsidP="00326EA4">
            <w:pPr>
              <w:pStyle w:val="NoSpacing"/>
              <w:rPr>
                <w:sz w:val="18"/>
                <w:szCs w:val="18"/>
              </w:rPr>
            </w:pPr>
            <w:r w:rsidRPr="00326EA4">
              <w:rPr>
                <w:sz w:val="18"/>
                <w:szCs w:val="18"/>
              </w:rPr>
              <w:t>Factors affecting health and wellbeing</w:t>
            </w: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Pr="00326EA4" w:rsidRDefault="00326EA4" w:rsidP="00326EA4">
            <w:pPr>
              <w:pStyle w:val="NoSpacing"/>
              <w:rPr>
                <w:sz w:val="18"/>
                <w:szCs w:val="18"/>
              </w:rPr>
            </w:pPr>
          </w:p>
          <w:p w:rsidR="00326EA4" w:rsidRDefault="00326EA4" w:rsidP="00326EA4">
            <w:pPr>
              <w:pStyle w:val="NoSpacing"/>
              <w:rPr>
                <w:sz w:val="18"/>
                <w:szCs w:val="18"/>
              </w:rPr>
            </w:pPr>
            <w:r w:rsidRPr="00326EA4">
              <w:rPr>
                <w:sz w:val="18"/>
                <w:szCs w:val="18"/>
              </w:rPr>
              <w:t>Physiological indicators</w:t>
            </w: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r w:rsidRPr="00326EA4">
              <w:rPr>
                <w:sz w:val="18"/>
                <w:szCs w:val="18"/>
              </w:rPr>
              <w:t>Lifestyle indicators</w:t>
            </w:r>
          </w:p>
          <w:p w:rsidR="00417661" w:rsidRDefault="00417661" w:rsidP="00326EA4">
            <w:pPr>
              <w:pStyle w:val="NoSpacing"/>
              <w:rPr>
                <w:sz w:val="18"/>
                <w:szCs w:val="18"/>
              </w:rPr>
            </w:pPr>
          </w:p>
          <w:p w:rsidR="00417661" w:rsidRDefault="00417661" w:rsidP="00326EA4">
            <w:pPr>
              <w:pStyle w:val="NoSpacing"/>
              <w:rPr>
                <w:sz w:val="18"/>
                <w:szCs w:val="18"/>
              </w:rPr>
            </w:pPr>
          </w:p>
          <w:p w:rsidR="00417661" w:rsidRDefault="00417661" w:rsidP="00326EA4">
            <w:pPr>
              <w:pStyle w:val="NoSpacing"/>
              <w:rPr>
                <w:sz w:val="18"/>
                <w:szCs w:val="18"/>
              </w:rPr>
            </w:pPr>
          </w:p>
          <w:p w:rsidR="00417661" w:rsidRDefault="00417661" w:rsidP="00326EA4">
            <w:pPr>
              <w:pStyle w:val="NoSpacing"/>
              <w:rPr>
                <w:sz w:val="18"/>
                <w:szCs w:val="18"/>
              </w:rPr>
            </w:pPr>
          </w:p>
          <w:p w:rsidR="00417661" w:rsidRPr="00326EA4" w:rsidRDefault="00417661" w:rsidP="00326EA4">
            <w:pPr>
              <w:pStyle w:val="NoSpacing"/>
              <w:rPr>
                <w:sz w:val="18"/>
                <w:szCs w:val="18"/>
              </w:rPr>
            </w:pP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00" w:type="dxa"/>
              <w:bottom w:w="0" w:type="dxa"/>
              <w:right w:w="100" w:type="dxa"/>
            </w:tcMar>
            <w:vAlign w:val="center"/>
            <w:hideMark/>
          </w:tcPr>
          <w:p w:rsidR="00326EA4" w:rsidRDefault="00326EA4" w:rsidP="00326EA4">
            <w:pPr>
              <w:pStyle w:val="NoSpacing"/>
              <w:rPr>
                <w:sz w:val="18"/>
                <w:szCs w:val="18"/>
              </w:rPr>
            </w:pPr>
            <w:r w:rsidRPr="00326EA4">
              <w:rPr>
                <w:sz w:val="18"/>
                <w:szCs w:val="18"/>
              </w:rPr>
              <w:t>Learners will explore how factors can affect an individual’s health and wellbeing positively or negatively.</w:t>
            </w: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p>
          <w:p w:rsidR="00326EA4" w:rsidRDefault="00326EA4" w:rsidP="00326EA4">
            <w:pPr>
              <w:pStyle w:val="NoSpacing"/>
              <w:rPr>
                <w:sz w:val="18"/>
                <w:szCs w:val="18"/>
              </w:rPr>
            </w:pPr>
            <w:r w:rsidRPr="00326EA4">
              <w:rPr>
                <w:sz w:val="18"/>
                <w:szCs w:val="18"/>
              </w:rPr>
              <w:t xml:space="preserve"> </w:t>
            </w:r>
          </w:p>
          <w:p w:rsidR="00326EA4" w:rsidRDefault="00326EA4" w:rsidP="00E0503B">
            <w:pPr>
              <w:pStyle w:val="NoSpacing"/>
              <w:rPr>
                <w:sz w:val="18"/>
                <w:szCs w:val="18"/>
              </w:rPr>
            </w:pPr>
            <w:r w:rsidRPr="00326EA4">
              <w:rPr>
                <w:sz w:val="18"/>
                <w:szCs w:val="18"/>
              </w:rPr>
              <w:t xml:space="preserve">Learners will </w:t>
            </w:r>
            <w:r>
              <w:rPr>
                <w:sz w:val="18"/>
                <w:szCs w:val="18"/>
              </w:rPr>
              <w:t xml:space="preserve">be able </w:t>
            </w:r>
            <w:r w:rsidRPr="00326EA4">
              <w:rPr>
                <w:sz w:val="18"/>
                <w:szCs w:val="18"/>
              </w:rPr>
              <w:t>interpret indicators that can be used to measure physiological health, interpreting data using published guidance.</w:t>
            </w:r>
          </w:p>
          <w:p w:rsidR="00326EA4" w:rsidRDefault="00326EA4" w:rsidP="00E0503B">
            <w:pPr>
              <w:pStyle w:val="NoSpacing"/>
              <w:rPr>
                <w:sz w:val="18"/>
                <w:szCs w:val="18"/>
              </w:rPr>
            </w:pPr>
          </w:p>
          <w:p w:rsidR="00326EA4" w:rsidRDefault="00326EA4" w:rsidP="00E0503B">
            <w:pPr>
              <w:pStyle w:val="NoSpacing"/>
              <w:rPr>
                <w:sz w:val="18"/>
                <w:szCs w:val="18"/>
              </w:rPr>
            </w:pPr>
          </w:p>
          <w:p w:rsidR="00326EA4" w:rsidRPr="00326EA4" w:rsidRDefault="00326EA4" w:rsidP="00E0503B">
            <w:pPr>
              <w:pStyle w:val="NoSpacing"/>
              <w:rPr>
                <w:sz w:val="18"/>
                <w:szCs w:val="18"/>
              </w:rPr>
            </w:pPr>
          </w:p>
          <w:p w:rsidR="00326EA4" w:rsidRPr="00326EA4" w:rsidRDefault="00326EA4" w:rsidP="00E0503B">
            <w:pPr>
              <w:pStyle w:val="NoSpacing"/>
              <w:rPr>
                <w:sz w:val="18"/>
                <w:szCs w:val="18"/>
              </w:rPr>
            </w:pPr>
            <w:r w:rsidRPr="00326EA4">
              <w:rPr>
                <w:sz w:val="18"/>
                <w:szCs w:val="18"/>
              </w:rPr>
              <w:t>Learners will interpret lifestyle data in relation to risks posed to physical health.</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rsidR="00326EA4" w:rsidRPr="00326EA4" w:rsidRDefault="00326EA4" w:rsidP="00326EA4">
            <w:pPr>
              <w:pStyle w:val="NoSpacing"/>
              <w:rPr>
                <w:sz w:val="18"/>
                <w:szCs w:val="18"/>
              </w:rPr>
            </w:pPr>
            <w:r>
              <w:rPr>
                <w:sz w:val="18"/>
                <w:szCs w:val="18"/>
              </w:rPr>
              <w:t xml:space="preserve">Students will learn that a </w:t>
            </w:r>
            <w:r w:rsidRPr="00326EA4">
              <w:rPr>
                <w:sz w:val="18"/>
                <w:szCs w:val="18"/>
              </w:rPr>
              <w:t xml:space="preserve">combination of physical health and social and emotional wellbeing, and not just the </w:t>
            </w:r>
            <w:r>
              <w:rPr>
                <w:sz w:val="18"/>
                <w:szCs w:val="18"/>
              </w:rPr>
              <w:t>absence of disease or illness. T</w:t>
            </w:r>
            <w:r w:rsidRPr="00326EA4">
              <w:rPr>
                <w:sz w:val="18"/>
                <w:szCs w:val="18"/>
              </w:rPr>
              <w:t>hat can have positive or negative effects on health and wellbeing:</w:t>
            </w:r>
          </w:p>
          <w:p w:rsidR="00D9188F" w:rsidRPr="00326EA4" w:rsidRDefault="00326EA4" w:rsidP="00326EA4">
            <w:pPr>
              <w:pStyle w:val="NoSpacing"/>
              <w:rPr>
                <w:sz w:val="18"/>
                <w:szCs w:val="18"/>
              </w:rPr>
            </w:pPr>
            <w:r w:rsidRPr="00326EA4">
              <w:rPr>
                <w:sz w:val="18"/>
                <w:szCs w:val="18"/>
              </w:rPr>
              <w:t>Social, emot</w:t>
            </w:r>
            <w:r>
              <w:rPr>
                <w:sz w:val="18"/>
                <w:szCs w:val="18"/>
              </w:rPr>
              <w:t xml:space="preserve">ional and cultural factors, Economic factors, Environmental factors , and the </w:t>
            </w:r>
            <w:r w:rsidRPr="00326EA4">
              <w:rPr>
                <w:sz w:val="18"/>
                <w:szCs w:val="18"/>
              </w:rPr>
              <w:t>impact of life events relating to relationship changes and changes in life circumstances.</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rsidR="00D9188F" w:rsidRPr="006E4210" w:rsidRDefault="00D9188F" w:rsidP="00E0503B">
            <w:pPr>
              <w:pStyle w:val="NoSpacing"/>
              <w:rPr>
                <w:sz w:val="20"/>
                <w:szCs w:val="20"/>
              </w:rPr>
            </w:pPr>
            <w:r>
              <w:rPr>
                <w:sz w:val="20"/>
                <w:szCs w:val="20"/>
              </w:rPr>
              <w:t>C</w:t>
            </w:r>
            <w:r w:rsidRPr="006E4210">
              <w:rPr>
                <w:sz w:val="20"/>
                <w:szCs w:val="20"/>
              </w:rPr>
              <w:t>ause</w:t>
            </w:r>
          </w:p>
          <w:p w:rsidR="00D9188F" w:rsidRPr="006E4210" w:rsidRDefault="00D9188F" w:rsidP="00E0503B">
            <w:pPr>
              <w:pStyle w:val="NoSpacing"/>
              <w:rPr>
                <w:sz w:val="20"/>
                <w:szCs w:val="20"/>
              </w:rPr>
            </w:pPr>
            <w:r>
              <w:rPr>
                <w:sz w:val="20"/>
                <w:szCs w:val="20"/>
              </w:rPr>
              <w:t>C</w:t>
            </w:r>
            <w:r w:rsidRPr="006E4210">
              <w:rPr>
                <w:sz w:val="20"/>
                <w:szCs w:val="20"/>
              </w:rPr>
              <w:t>onsequence</w:t>
            </w:r>
          </w:p>
          <w:p w:rsidR="00D9188F" w:rsidRDefault="00D9188F" w:rsidP="00E0503B">
            <w:pPr>
              <w:pStyle w:val="NoSpacing"/>
              <w:rPr>
                <w:sz w:val="20"/>
                <w:szCs w:val="20"/>
              </w:rPr>
            </w:pPr>
            <w:r>
              <w:rPr>
                <w:sz w:val="20"/>
                <w:szCs w:val="20"/>
              </w:rPr>
              <w:t>S</w:t>
            </w:r>
            <w:r w:rsidRPr="006E4210">
              <w:rPr>
                <w:sz w:val="20"/>
                <w:szCs w:val="20"/>
              </w:rPr>
              <w:t>imilarity and difference</w:t>
            </w:r>
          </w:p>
          <w:p w:rsidR="00D9188F" w:rsidRDefault="00D9188F" w:rsidP="00E0503B">
            <w:pPr>
              <w:pStyle w:val="NoSpacing"/>
              <w:rPr>
                <w:sz w:val="20"/>
                <w:szCs w:val="20"/>
              </w:rPr>
            </w:pPr>
            <w:r>
              <w:rPr>
                <w:sz w:val="20"/>
                <w:szCs w:val="20"/>
              </w:rPr>
              <w:t>Investigation</w:t>
            </w:r>
          </w:p>
          <w:p w:rsidR="00D9188F" w:rsidRDefault="00D9188F" w:rsidP="00E0503B">
            <w:pPr>
              <w:pStyle w:val="NoSpacing"/>
              <w:rPr>
                <w:sz w:val="20"/>
                <w:szCs w:val="20"/>
              </w:rPr>
            </w:pPr>
            <w:r>
              <w:rPr>
                <w:sz w:val="20"/>
                <w:szCs w:val="20"/>
              </w:rPr>
              <w:t>Classifications</w:t>
            </w:r>
          </w:p>
          <w:p w:rsidR="00D9188F" w:rsidRPr="00C23AB7" w:rsidRDefault="00D9188F" w:rsidP="00E0503B">
            <w:pPr>
              <w:pStyle w:val="NoSpacing"/>
              <w:rPr>
                <w:sz w:val="20"/>
                <w:szCs w:val="20"/>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rsidR="00D9188F" w:rsidRDefault="00D9188F" w:rsidP="00E0503B">
            <w:pPr>
              <w:pStyle w:val="NoSpacing"/>
              <w:rPr>
                <w:sz w:val="20"/>
                <w:szCs w:val="20"/>
              </w:rPr>
            </w:pPr>
          </w:p>
          <w:p w:rsidR="00D9188F" w:rsidRDefault="00D9188F" w:rsidP="00E0503B">
            <w:pPr>
              <w:pStyle w:val="NoSpacing"/>
              <w:rPr>
                <w:sz w:val="20"/>
                <w:szCs w:val="20"/>
              </w:rPr>
            </w:pPr>
          </w:p>
          <w:p w:rsidR="00D9188F" w:rsidRPr="00C23AB7" w:rsidRDefault="00D9188F" w:rsidP="00E0503B">
            <w:pPr>
              <w:pStyle w:val="NoSpacing"/>
              <w:rPr>
                <w:sz w:val="20"/>
                <w:szCs w:val="20"/>
              </w:rPr>
            </w:pPr>
            <w:r w:rsidRPr="00C23AB7">
              <w:rPr>
                <w:sz w:val="20"/>
                <w:szCs w:val="20"/>
              </w:rPr>
              <w:t>CAT</w:t>
            </w:r>
            <w:r>
              <w:rPr>
                <w:sz w:val="20"/>
                <w:szCs w:val="20"/>
              </w:rPr>
              <w:t xml:space="preserve"> </w:t>
            </w:r>
            <w:proofErr w:type="gramStart"/>
            <w:r>
              <w:rPr>
                <w:sz w:val="20"/>
                <w:szCs w:val="20"/>
              </w:rPr>
              <w:t>assessments</w:t>
            </w:r>
            <w:r w:rsidRPr="00C23AB7">
              <w:rPr>
                <w:sz w:val="20"/>
                <w:szCs w:val="20"/>
              </w:rPr>
              <w:t xml:space="preserve">  during</w:t>
            </w:r>
            <w:proofErr w:type="gramEnd"/>
            <w:r>
              <w:rPr>
                <w:sz w:val="20"/>
                <w:szCs w:val="20"/>
              </w:rPr>
              <w:t xml:space="preserve"> unit</w:t>
            </w:r>
            <w:r w:rsidRPr="00C23AB7">
              <w:rPr>
                <w:sz w:val="20"/>
                <w:szCs w:val="20"/>
              </w:rPr>
              <w:t xml:space="preserve"> delivery </w:t>
            </w:r>
          </w:p>
          <w:p w:rsidR="00D9188F" w:rsidRPr="00C23AB7" w:rsidRDefault="00D9188F" w:rsidP="00E0503B">
            <w:pPr>
              <w:pStyle w:val="NoSpacing"/>
              <w:rPr>
                <w:sz w:val="20"/>
                <w:szCs w:val="20"/>
              </w:rPr>
            </w:pPr>
            <w:r w:rsidRPr="00C23AB7">
              <w:rPr>
                <w:sz w:val="20"/>
                <w:szCs w:val="20"/>
              </w:rPr>
              <w:t> </w:t>
            </w: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Pr="00C23AB7" w:rsidRDefault="00D9188F" w:rsidP="00E0503B">
            <w:pPr>
              <w:pStyle w:val="NoSpacing"/>
              <w:rPr>
                <w:sz w:val="20"/>
                <w:szCs w:val="20"/>
              </w:rPr>
            </w:pPr>
            <w:r w:rsidRPr="00C23AB7">
              <w:rPr>
                <w:sz w:val="20"/>
                <w:szCs w:val="20"/>
              </w:rPr>
              <w:t>CAT</w:t>
            </w:r>
            <w:r>
              <w:rPr>
                <w:sz w:val="20"/>
                <w:szCs w:val="20"/>
              </w:rPr>
              <w:t xml:space="preserve"> </w:t>
            </w:r>
            <w:proofErr w:type="gramStart"/>
            <w:r>
              <w:rPr>
                <w:sz w:val="20"/>
                <w:szCs w:val="20"/>
              </w:rPr>
              <w:t>assessments</w:t>
            </w:r>
            <w:r w:rsidRPr="00C23AB7">
              <w:rPr>
                <w:sz w:val="20"/>
                <w:szCs w:val="20"/>
              </w:rPr>
              <w:t xml:space="preserve">  during</w:t>
            </w:r>
            <w:proofErr w:type="gramEnd"/>
            <w:r>
              <w:rPr>
                <w:sz w:val="20"/>
                <w:szCs w:val="20"/>
              </w:rPr>
              <w:t xml:space="preserve"> unit</w:t>
            </w:r>
            <w:r w:rsidRPr="00C23AB7">
              <w:rPr>
                <w:sz w:val="20"/>
                <w:szCs w:val="20"/>
              </w:rPr>
              <w:t xml:space="preserve"> delivery </w:t>
            </w:r>
          </w:p>
          <w:p w:rsidR="00D9188F" w:rsidRPr="00C23AB7" w:rsidRDefault="00D9188F" w:rsidP="00E0503B">
            <w:pPr>
              <w:pStyle w:val="NoSpacing"/>
              <w:rPr>
                <w:sz w:val="20"/>
                <w:szCs w:val="20"/>
              </w:rPr>
            </w:pPr>
            <w:r w:rsidRPr="00C23AB7">
              <w:rPr>
                <w:sz w:val="20"/>
                <w:szCs w:val="20"/>
              </w:rPr>
              <w:t> </w:t>
            </w:r>
          </w:p>
          <w:p w:rsidR="00D9188F" w:rsidRPr="00C23AB7" w:rsidRDefault="00D9188F" w:rsidP="00E0503B">
            <w:pPr>
              <w:pStyle w:val="NoSpacing"/>
              <w:rPr>
                <w:sz w:val="20"/>
                <w:szCs w:val="20"/>
              </w:rPr>
            </w:pP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hideMark/>
          </w:tcPr>
          <w:p w:rsidR="00D9188F" w:rsidRDefault="00D9188F" w:rsidP="00E0503B">
            <w:pPr>
              <w:pStyle w:val="NoSpacing"/>
              <w:rPr>
                <w:sz w:val="20"/>
                <w:szCs w:val="20"/>
              </w:rPr>
            </w:pPr>
            <w:r w:rsidRPr="00C23AB7">
              <w:rPr>
                <w:sz w:val="20"/>
                <w:szCs w:val="20"/>
              </w:rPr>
              <w:t> </w:t>
            </w:r>
          </w:p>
          <w:p w:rsidR="00D9188F" w:rsidRDefault="00D9188F" w:rsidP="00E0503B">
            <w:pPr>
              <w:pStyle w:val="NoSpacing"/>
              <w:rPr>
                <w:sz w:val="20"/>
                <w:szCs w:val="20"/>
              </w:rPr>
            </w:pPr>
          </w:p>
          <w:p w:rsidR="00D9188F" w:rsidRDefault="00D9188F" w:rsidP="00E0503B">
            <w:pPr>
              <w:pStyle w:val="NoSpacing"/>
              <w:rPr>
                <w:sz w:val="20"/>
                <w:szCs w:val="20"/>
              </w:rPr>
            </w:pPr>
            <w:r>
              <w:rPr>
                <w:sz w:val="20"/>
                <w:szCs w:val="20"/>
              </w:rPr>
              <w:t xml:space="preserve">BTEC </w:t>
            </w:r>
            <w:proofErr w:type="gramStart"/>
            <w:r>
              <w:rPr>
                <w:sz w:val="20"/>
                <w:szCs w:val="20"/>
              </w:rPr>
              <w:t>technical  award</w:t>
            </w:r>
            <w:proofErr w:type="gramEnd"/>
            <w:r>
              <w:rPr>
                <w:sz w:val="20"/>
                <w:szCs w:val="20"/>
              </w:rPr>
              <w:t xml:space="preserve"> in Health and Social Care 2022 edition</w:t>
            </w: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p>
          <w:p w:rsidR="00D9188F" w:rsidRDefault="00D9188F" w:rsidP="00E0503B">
            <w:pPr>
              <w:pStyle w:val="NoSpacing"/>
              <w:rPr>
                <w:sz w:val="20"/>
                <w:szCs w:val="20"/>
              </w:rPr>
            </w:pPr>
            <w:r>
              <w:rPr>
                <w:sz w:val="20"/>
                <w:szCs w:val="20"/>
              </w:rPr>
              <w:t xml:space="preserve">BTEC </w:t>
            </w:r>
            <w:proofErr w:type="gramStart"/>
            <w:r>
              <w:rPr>
                <w:sz w:val="20"/>
                <w:szCs w:val="20"/>
              </w:rPr>
              <w:t>technical  award</w:t>
            </w:r>
            <w:proofErr w:type="gramEnd"/>
            <w:r>
              <w:rPr>
                <w:sz w:val="20"/>
                <w:szCs w:val="20"/>
              </w:rPr>
              <w:t xml:space="preserve"> in Health and Social Care 2022 edition</w:t>
            </w:r>
          </w:p>
          <w:p w:rsidR="00D9188F" w:rsidRPr="00C23AB7" w:rsidRDefault="00D9188F" w:rsidP="00E0503B">
            <w:pPr>
              <w:pStyle w:val="NoSpacing"/>
              <w:rPr>
                <w:sz w:val="20"/>
                <w:szCs w:val="20"/>
              </w:rPr>
            </w:pPr>
          </w:p>
        </w:tc>
      </w:tr>
      <w:tr w:rsidR="00D9188F" w:rsidRPr="00C23AB7" w:rsidTr="00326EA4">
        <w:trPr>
          <w:trHeight w:val="1433"/>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rsidR="00D9188F" w:rsidRPr="00326EA4" w:rsidRDefault="00326EA4" w:rsidP="00E0503B">
            <w:pPr>
              <w:pStyle w:val="NoSpacing"/>
              <w:rPr>
                <w:sz w:val="18"/>
                <w:szCs w:val="18"/>
              </w:rPr>
            </w:pPr>
            <w:r>
              <w:rPr>
                <w:sz w:val="18"/>
                <w:szCs w:val="18"/>
              </w:rPr>
              <w:t xml:space="preserve">Students will understand </w:t>
            </w:r>
            <w:r w:rsidRPr="00326EA4">
              <w:rPr>
                <w:sz w:val="18"/>
                <w:szCs w:val="18"/>
              </w:rPr>
              <w:t>Physiological indicators th</w:t>
            </w:r>
            <w:r>
              <w:rPr>
                <w:sz w:val="18"/>
                <w:szCs w:val="18"/>
              </w:rPr>
              <w:t xml:space="preserve">at are used to measure health: </w:t>
            </w:r>
            <w:r w:rsidRPr="00326EA4">
              <w:rPr>
                <w:sz w:val="18"/>
                <w:szCs w:val="18"/>
              </w:rPr>
              <w:t xml:space="preserve"> pulse (resting and</w:t>
            </w:r>
            <w:r>
              <w:rPr>
                <w:sz w:val="18"/>
                <w:szCs w:val="18"/>
              </w:rPr>
              <w:t xml:space="preserve"> recovery rate after exercise), blood pressure, peak flow, </w:t>
            </w:r>
            <w:r w:rsidRPr="00326EA4">
              <w:rPr>
                <w:sz w:val="18"/>
                <w:szCs w:val="18"/>
              </w:rPr>
              <w:t>body mass index (BMI).  Using published guidance to interpret data relating to th</w:t>
            </w:r>
            <w:r>
              <w:rPr>
                <w:sz w:val="18"/>
                <w:szCs w:val="18"/>
              </w:rPr>
              <w:t xml:space="preserve">ese physiological indicators. </w:t>
            </w:r>
            <w:r w:rsidRPr="00326EA4">
              <w:rPr>
                <w:sz w:val="18"/>
                <w:szCs w:val="18"/>
              </w:rPr>
              <w:t>The potential significance of abnormal readings: risks to physical health.</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rsidR="00D9188F" w:rsidRPr="006E4210" w:rsidRDefault="00D9188F" w:rsidP="00E0503B">
            <w:pPr>
              <w:pStyle w:val="NoSpacing"/>
              <w:rPr>
                <w:sz w:val="20"/>
                <w:szCs w:val="20"/>
              </w:rPr>
            </w:pPr>
            <w:r>
              <w:rPr>
                <w:sz w:val="20"/>
                <w:szCs w:val="20"/>
              </w:rPr>
              <w:t>C</w:t>
            </w:r>
            <w:r w:rsidRPr="006E4210">
              <w:rPr>
                <w:sz w:val="20"/>
                <w:szCs w:val="20"/>
              </w:rPr>
              <w:t>ause</w:t>
            </w:r>
          </w:p>
          <w:p w:rsidR="00D9188F" w:rsidRPr="006E4210" w:rsidRDefault="00D9188F" w:rsidP="00E0503B">
            <w:pPr>
              <w:pStyle w:val="NoSpacing"/>
              <w:rPr>
                <w:sz w:val="20"/>
                <w:szCs w:val="20"/>
              </w:rPr>
            </w:pPr>
            <w:r>
              <w:rPr>
                <w:sz w:val="20"/>
                <w:szCs w:val="20"/>
              </w:rPr>
              <w:t>C</w:t>
            </w:r>
            <w:r w:rsidRPr="006E4210">
              <w:rPr>
                <w:sz w:val="20"/>
                <w:szCs w:val="20"/>
              </w:rPr>
              <w:t>onsequence</w:t>
            </w:r>
          </w:p>
          <w:p w:rsidR="00D9188F" w:rsidRPr="00C23AB7" w:rsidRDefault="00D9188F" w:rsidP="00E0503B">
            <w:pPr>
              <w:pStyle w:val="NoSpacing"/>
              <w:rPr>
                <w:sz w:val="20"/>
                <w:szCs w:val="20"/>
              </w:rPr>
            </w:pPr>
            <w:r>
              <w:rPr>
                <w:sz w:val="20"/>
                <w:szCs w:val="20"/>
              </w:rPr>
              <w:t>Classification</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r>
      <w:tr w:rsidR="00D9188F" w:rsidRPr="00C23AB7" w:rsidTr="00326EA4">
        <w:trPr>
          <w:trHeight w:val="163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hideMark/>
          </w:tcPr>
          <w:p w:rsidR="00D9188F" w:rsidRDefault="00326EA4" w:rsidP="00E0503B">
            <w:pPr>
              <w:pStyle w:val="NoSpacing"/>
              <w:rPr>
                <w:sz w:val="18"/>
                <w:szCs w:val="18"/>
              </w:rPr>
            </w:pPr>
            <w:r w:rsidRPr="00326EA4">
              <w:rPr>
                <w:sz w:val="18"/>
                <w:szCs w:val="18"/>
              </w:rPr>
              <w:t>Interpretation of lifestyle data, specifically risks to phy</w:t>
            </w:r>
            <w:r>
              <w:rPr>
                <w:sz w:val="18"/>
                <w:szCs w:val="18"/>
              </w:rPr>
              <w:t>sical health associated with: smoking, alcohol consumption and</w:t>
            </w:r>
            <w:r w:rsidRPr="00326EA4">
              <w:rPr>
                <w:sz w:val="18"/>
                <w:szCs w:val="18"/>
              </w:rPr>
              <w:t xml:space="preserve"> inactive lifestyles.</w:t>
            </w:r>
          </w:p>
          <w:p w:rsidR="00417661" w:rsidRPr="00326EA4" w:rsidRDefault="00417661" w:rsidP="00E0503B">
            <w:pPr>
              <w:pStyle w:val="NoSpacing"/>
              <w:rPr>
                <w:sz w:val="18"/>
                <w:szCs w:val="18"/>
              </w:rPr>
            </w:pP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rsidR="00D9188F" w:rsidRPr="006E4210" w:rsidRDefault="00D9188F" w:rsidP="00E0503B">
            <w:pPr>
              <w:pStyle w:val="NoSpacing"/>
              <w:rPr>
                <w:sz w:val="20"/>
                <w:szCs w:val="20"/>
              </w:rPr>
            </w:pPr>
            <w:r>
              <w:rPr>
                <w:sz w:val="20"/>
                <w:szCs w:val="20"/>
              </w:rPr>
              <w:t>C</w:t>
            </w:r>
            <w:r w:rsidRPr="006E4210">
              <w:rPr>
                <w:sz w:val="20"/>
                <w:szCs w:val="20"/>
              </w:rPr>
              <w:t>ause</w:t>
            </w:r>
          </w:p>
          <w:p w:rsidR="00D9188F" w:rsidRDefault="00D9188F" w:rsidP="00E0503B">
            <w:pPr>
              <w:pStyle w:val="NoSpacing"/>
              <w:rPr>
                <w:sz w:val="20"/>
                <w:szCs w:val="20"/>
              </w:rPr>
            </w:pPr>
            <w:r>
              <w:rPr>
                <w:sz w:val="20"/>
                <w:szCs w:val="20"/>
              </w:rPr>
              <w:t>C</w:t>
            </w:r>
            <w:r w:rsidRPr="006E4210">
              <w:rPr>
                <w:sz w:val="20"/>
                <w:szCs w:val="20"/>
              </w:rPr>
              <w:t>onsequence</w:t>
            </w:r>
          </w:p>
          <w:p w:rsidR="00D9188F" w:rsidRDefault="00D9188F" w:rsidP="00E0503B">
            <w:pPr>
              <w:pStyle w:val="NoSpacing"/>
              <w:rPr>
                <w:sz w:val="20"/>
                <w:szCs w:val="20"/>
              </w:rPr>
            </w:pPr>
            <w:r>
              <w:rPr>
                <w:sz w:val="20"/>
                <w:szCs w:val="20"/>
              </w:rPr>
              <w:t>Classification</w:t>
            </w:r>
          </w:p>
          <w:p w:rsidR="00D9188F" w:rsidRPr="006E4210" w:rsidRDefault="00D9188F" w:rsidP="00E0503B">
            <w:pPr>
              <w:pStyle w:val="NoSpacing"/>
              <w:rPr>
                <w:sz w:val="20"/>
                <w:szCs w:val="20"/>
              </w:rPr>
            </w:pPr>
            <w:r>
              <w:rPr>
                <w:sz w:val="20"/>
                <w:szCs w:val="20"/>
              </w:rPr>
              <w:t>Investigation</w:t>
            </w:r>
          </w:p>
          <w:p w:rsidR="00D9188F" w:rsidRPr="00C23AB7" w:rsidRDefault="00D9188F" w:rsidP="00E0503B">
            <w:pPr>
              <w:pStyle w:val="NoSpacing"/>
              <w:rPr>
                <w:sz w:val="20"/>
                <w:szCs w:val="20"/>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D9188F" w:rsidRPr="00C23AB7" w:rsidRDefault="00D9188F" w:rsidP="00E0503B">
            <w:pPr>
              <w:pStyle w:val="NoSpacing"/>
              <w:rPr>
                <w:sz w:val="20"/>
                <w:szCs w:val="20"/>
              </w:rPr>
            </w:pPr>
          </w:p>
        </w:tc>
      </w:tr>
      <w:tr w:rsidR="00417661" w:rsidRPr="00C23AB7" w:rsidTr="00326EA4">
        <w:trPr>
          <w:trHeight w:val="1637"/>
        </w:trPr>
        <w:tc>
          <w:tcPr>
            <w:tcW w:w="1124" w:type="dxa"/>
            <w:tcBorders>
              <w:top w:val="single" w:sz="8" w:space="0" w:color="000000"/>
              <w:left w:val="single" w:sz="8" w:space="0" w:color="000000"/>
              <w:bottom w:val="single" w:sz="8" w:space="0" w:color="000000"/>
              <w:right w:val="single" w:sz="8" w:space="0" w:color="000000"/>
            </w:tcBorders>
            <w:vAlign w:val="center"/>
          </w:tcPr>
          <w:p w:rsidR="00417661" w:rsidRPr="00C23AB7" w:rsidRDefault="00417661" w:rsidP="00E0503B">
            <w:pPr>
              <w:pStyle w:val="NoSpacing"/>
              <w:rPr>
                <w:sz w:val="20"/>
                <w:szCs w:val="20"/>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417661" w:rsidRPr="00417661" w:rsidRDefault="00417661" w:rsidP="00E0503B">
            <w:pPr>
              <w:pStyle w:val="NoSpacing"/>
              <w:rPr>
                <w:sz w:val="18"/>
                <w:szCs w:val="18"/>
              </w:rPr>
            </w:pPr>
            <w:r w:rsidRPr="00417661">
              <w:rPr>
                <w:sz w:val="18"/>
                <w:szCs w:val="18"/>
              </w:rPr>
              <w:t>Health and wellbeing improvement plans</w:t>
            </w:r>
          </w:p>
        </w:tc>
        <w:tc>
          <w:tcPr>
            <w:tcW w:w="1985" w:type="dxa"/>
            <w:tcBorders>
              <w:top w:val="single" w:sz="8" w:space="0" w:color="000000"/>
              <w:left w:val="single" w:sz="8" w:space="0" w:color="000000"/>
              <w:bottom w:val="single" w:sz="8" w:space="0" w:color="000000"/>
              <w:right w:val="single" w:sz="8" w:space="0" w:color="000000"/>
            </w:tcBorders>
            <w:vAlign w:val="center"/>
          </w:tcPr>
          <w:p w:rsidR="00417661" w:rsidRDefault="00417661" w:rsidP="00E0503B">
            <w:pPr>
              <w:pStyle w:val="NoSpacing"/>
              <w:rPr>
                <w:sz w:val="18"/>
                <w:szCs w:val="18"/>
              </w:rPr>
            </w:pPr>
            <w:r w:rsidRPr="00417661">
              <w:rPr>
                <w:sz w:val="18"/>
                <w:szCs w:val="18"/>
              </w:rPr>
              <w:t>Learners will explore the features of health and wellbeing improvement plans. It links to, and consolidates, knowledge and understanding from Component 2, in particular support services and also care values in terms of the need for a person-centred approach.</w:t>
            </w:r>
          </w:p>
          <w:p w:rsidR="00417661" w:rsidRDefault="00417661" w:rsidP="00E0503B">
            <w:pPr>
              <w:pStyle w:val="NoSpacing"/>
              <w:rPr>
                <w:sz w:val="18"/>
                <w:szCs w:val="18"/>
              </w:rPr>
            </w:pPr>
          </w:p>
          <w:p w:rsidR="00417661" w:rsidRPr="00417661" w:rsidRDefault="00417661" w:rsidP="00E0503B">
            <w:pPr>
              <w:pStyle w:val="NoSpacing"/>
              <w:rPr>
                <w:sz w:val="18"/>
                <w:szCs w:val="18"/>
              </w:rPr>
            </w:pP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rsidR="00417661" w:rsidRDefault="00417661" w:rsidP="00E0503B">
            <w:pPr>
              <w:pStyle w:val="NoSpacing"/>
              <w:rPr>
                <w:sz w:val="18"/>
                <w:szCs w:val="18"/>
              </w:rPr>
            </w:pPr>
            <w:r w:rsidRPr="00417661">
              <w:rPr>
                <w:sz w:val="18"/>
                <w:szCs w:val="18"/>
              </w:rPr>
              <w:t>Students will understand t</w:t>
            </w:r>
            <w:r w:rsidRPr="00417661">
              <w:rPr>
                <w:sz w:val="18"/>
                <w:szCs w:val="18"/>
              </w:rPr>
              <w:t>he importance of a person-centred approach that takes into account an individual’s ne</w:t>
            </w:r>
            <w:r w:rsidRPr="00417661">
              <w:rPr>
                <w:sz w:val="18"/>
                <w:szCs w:val="18"/>
              </w:rPr>
              <w:t xml:space="preserve">eds, wishes and circumstances. </w:t>
            </w:r>
            <w:r w:rsidRPr="00417661">
              <w:rPr>
                <w:sz w:val="18"/>
                <w:szCs w:val="18"/>
              </w:rPr>
              <w:t xml:space="preserve"> </w:t>
            </w:r>
          </w:p>
          <w:p w:rsidR="00417661" w:rsidRPr="00417661" w:rsidRDefault="00417661" w:rsidP="00E0503B">
            <w:pPr>
              <w:pStyle w:val="NoSpacing"/>
              <w:rPr>
                <w:sz w:val="18"/>
                <w:szCs w:val="18"/>
              </w:rPr>
            </w:pPr>
            <w:r w:rsidRPr="00417661">
              <w:rPr>
                <w:sz w:val="18"/>
                <w:szCs w:val="18"/>
              </w:rPr>
              <w:t>Inform</w:t>
            </w:r>
            <w:r>
              <w:rPr>
                <w:sz w:val="18"/>
                <w:szCs w:val="18"/>
              </w:rPr>
              <w:t xml:space="preserve">ation to be included in plan: are </w:t>
            </w:r>
            <w:r w:rsidRPr="00417661">
              <w:rPr>
                <w:sz w:val="18"/>
                <w:szCs w:val="18"/>
              </w:rPr>
              <w:t>recommended actions t</w:t>
            </w:r>
            <w:r>
              <w:rPr>
                <w:sz w:val="18"/>
                <w:szCs w:val="18"/>
              </w:rPr>
              <w:t>o improve health and wellbeing,</w:t>
            </w:r>
            <w:r w:rsidRPr="00417661">
              <w:rPr>
                <w:sz w:val="18"/>
                <w:szCs w:val="18"/>
              </w:rPr>
              <w:t xml:space="preserve"> short-term (less than six months) and long-te</w:t>
            </w:r>
            <w:r>
              <w:rPr>
                <w:sz w:val="18"/>
                <w:szCs w:val="18"/>
              </w:rPr>
              <w:t xml:space="preserve">rm targets  and </w:t>
            </w:r>
            <w:r w:rsidRPr="00417661">
              <w:rPr>
                <w:sz w:val="18"/>
                <w:szCs w:val="18"/>
              </w:rPr>
              <w:t>appropriate sources of support (formal and/or informal).</w:t>
            </w:r>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rsidR="00417661" w:rsidRDefault="00417661" w:rsidP="00E0503B">
            <w:pPr>
              <w:pStyle w:val="NoSpacing"/>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417661" w:rsidRPr="00C23AB7" w:rsidRDefault="00417661" w:rsidP="00E0503B">
            <w:pPr>
              <w:pStyle w:val="NoSpacing"/>
              <w:rPr>
                <w:sz w:val="20"/>
                <w:szCs w:val="20"/>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417661" w:rsidRPr="00C23AB7" w:rsidRDefault="00417661" w:rsidP="00E0503B">
            <w:pPr>
              <w:pStyle w:val="NoSpacing"/>
              <w:rPr>
                <w:sz w:val="20"/>
                <w:szCs w:val="20"/>
              </w:rPr>
            </w:pPr>
          </w:p>
        </w:tc>
      </w:tr>
      <w:tr w:rsidR="00417661" w:rsidRPr="00C23AB7" w:rsidTr="00326EA4">
        <w:trPr>
          <w:trHeight w:val="1637"/>
        </w:trPr>
        <w:tc>
          <w:tcPr>
            <w:tcW w:w="1124" w:type="dxa"/>
            <w:tcBorders>
              <w:top w:val="single" w:sz="8" w:space="0" w:color="000000"/>
              <w:left w:val="single" w:sz="8" w:space="0" w:color="000000"/>
              <w:bottom w:val="single" w:sz="8" w:space="0" w:color="000000"/>
              <w:right w:val="single" w:sz="8" w:space="0" w:color="000000"/>
            </w:tcBorders>
            <w:vAlign w:val="center"/>
          </w:tcPr>
          <w:p w:rsidR="00417661" w:rsidRPr="00C23AB7" w:rsidRDefault="00417661" w:rsidP="00E0503B">
            <w:pPr>
              <w:pStyle w:val="NoSpacing"/>
              <w:rPr>
                <w:sz w:val="20"/>
                <w:szCs w:val="20"/>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417661" w:rsidRPr="00417661" w:rsidRDefault="00417661" w:rsidP="00E0503B">
            <w:pPr>
              <w:pStyle w:val="NoSpacing"/>
              <w:rPr>
                <w:sz w:val="18"/>
                <w:szCs w:val="18"/>
              </w:rPr>
            </w:pPr>
            <w:r w:rsidRPr="00417661">
              <w:rPr>
                <w:sz w:val="18"/>
                <w:szCs w:val="18"/>
              </w:rPr>
              <w:t>Obstacles to implementing plans</w:t>
            </w:r>
          </w:p>
        </w:tc>
        <w:tc>
          <w:tcPr>
            <w:tcW w:w="1985" w:type="dxa"/>
            <w:tcBorders>
              <w:top w:val="single" w:sz="8" w:space="0" w:color="000000"/>
              <w:left w:val="single" w:sz="8" w:space="0" w:color="000000"/>
              <w:bottom w:val="single" w:sz="8" w:space="0" w:color="000000"/>
              <w:right w:val="single" w:sz="8" w:space="0" w:color="000000"/>
            </w:tcBorders>
            <w:vAlign w:val="center"/>
          </w:tcPr>
          <w:p w:rsidR="00417661" w:rsidRPr="00417661" w:rsidRDefault="00417661" w:rsidP="00E0503B">
            <w:pPr>
              <w:pStyle w:val="NoSpacing"/>
              <w:rPr>
                <w:sz w:val="18"/>
                <w:szCs w:val="18"/>
              </w:rPr>
            </w:pPr>
            <w:r w:rsidRPr="00417661">
              <w:rPr>
                <w:sz w:val="18"/>
                <w:szCs w:val="18"/>
              </w:rPr>
              <w:t>Learners will explore the obstacles that individuals can face when implementing these plans and how they may be mitigated.</w:t>
            </w:r>
          </w:p>
        </w:tc>
        <w:tc>
          <w:tcPr>
            <w:tcW w:w="340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0" w:type="dxa"/>
              <w:bottom w:w="0" w:type="dxa"/>
              <w:right w:w="100" w:type="dxa"/>
            </w:tcMar>
            <w:vAlign w:val="center"/>
          </w:tcPr>
          <w:p w:rsidR="00417661" w:rsidRPr="00417661" w:rsidRDefault="00417661" w:rsidP="00417661">
            <w:pPr>
              <w:pStyle w:val="NoSpacing"/>
              <w:rPr>
                <w:sz w:val="18"/>
                <w:szCs w:val="18"/>
              </w:rPr>
            </w:pPr>
            <w:r w:rsidRPr="00417661">
              <w:rPr>
                <w:sz w:val="18"/>
                <w:szCs w:val="18"/>
              </w:rPr>
              <w:t xml:space="preserve">Students will learn the potential obstacles: such as </w:t>
            </w:r>
            <w:r w:rsidRPr="00417661">
              <w:rPr>
                <w:sz w:val="18"/>
                <w:szCs w:val="18"/>
              </w:rPr>
              <w:t>em</w:t>
            </w:r>
            <w:r w:rsidRPr="00417661">
              <w:rPr>
                <w:sz w:val="18"/>
                <w:szCs w:val="18"/>
              </w:rPr>
              <w:t xml:space="preserve">otional/psychological, time constraints, </w:t>
            </w:r>
            <w:r w:rsidRPr="00417661">
              <w:rPr>
                <w:sz w:val="18"/>
                <w:szCs w:val="18"/>
              </w:rPr>
              <w:t>finan</w:t>
            </w:r>
            <w:r w:rsidRPr="00417661">
              <w:rPr>
                <w:sz w:val="18"/>
                <w:szCs w:val="18"/>
              </w:rPr>
              <w:t xml:space="preserve">cial, physical, e.g. equipment, </w:t>
            </w:r>
            <w:r w:rsidRPr="00417661">
              <w:rPr>
                <w:sz w:val="18"/>
                <w:szCs w:val="18"/>
              </w:rPr>
              <w:t xml:space="preserve"> unachievable targets</w:t>
            </w:r>
            <w:r w:rsidRPr="00417661">
              <w:rPr>
                <w:sz w:val="18"/>
                <w:szCs w:val="18"/>
              </w:rPr>
              <w:t xml:space="preserve">, </w:t>
            </w:r>
            <w:r w:rsidRPr="00417661">
              <w:rPr>
                <w:sz w:val="18"/>
                <w:szCs w:val="18"/>
              </w:rPr>
              <w:t xml:space="preserve"> lack of support</w:t>
            </w:r>
            <w:r w:rsidRPr="00417661">
              <w:rPr>
                <w:sz w:val="18"/>
                <w:szCs w:val="18"/>
              </w:rPr>
              <w:t>, e.g. from family and friends and</w:t>
            </w:r>
            <w:r w:rsidRPr="00417661">
              <w:rPr>
                <w:sz w:val="18"/>
                <w:szCs w:val="18"/>
              </w:rPr>
              <w:t xml:space="preserve"> other factors specific to individual – ability/disability, addiction o barriers to accessing identified services</w:t>
            </w:r>
            <w:r>
              <w:rPr>
                <w:sz w:val="18"/>
                <w:szCs w:val="18"/>
              </w:rPr>
              <w:t>.</w:t>
            </w:r>
            <w:bookmarkStart w:id="0" w:name="_GoBack"/>
            <w:bookmarkEnd w:id="0"/>
          </w:p>
        </w:tc>
        <w:tc>
          <w:tcPr>
            <w:tcW w:w="2693" w:type="dxa"/>
            <w:tcBorders>
              <w:top w:val="single" w:sz="8" w:space="0" w:color="000000"/>
              <w:left w:val="single" w:sz="8" w:space="0" w:color="000000"/>
              <w:bottom w:val="single" w:sz="8" w:space="0" w:color="000000"/>
              <w:right w:val="single" w:sz="8" w:space="0" w:color="000000"/>
            </w:tcBorders>
            <w:shd w:val="clear" w:color="auto" w:fill="FBE4D5"/>
            <w:tcMar>
              <w:top w:w="15" w:type="dxa"/>
              <w:left w:w="100" w:type="dxa"/>
              <w:bottom w:w="0" w:type="dxa"/>
              <w:right w:w="100" w:type="dxa"/>
            </w:tcMar>
            <w:vAlign w:val="center"/>
          </w:tcPr>
          <w:p w:rsidR="00417661" w:rsidRDefault="00417661" w:rsidP="00E0503B">
            <w:pPr>
              <w:pStyle w:val="NoSpacing"/>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417661" w:rsidRPr="00C23AB7" w:rsidRDefault="00417661" w:rsidP="00E0503B">
            <w:pPr>
              <w:pStyle w:val="NoSpacing"/>
              <w:rPr>
                <w:sz w:val="20"/>
                <w:szCs w:val="20"/>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417661" w:rsidRPr="00C23AB7" w:rsidRDefault="00417661" w:rsidP="00E0503B">
            <w:pPr>
              <w:pStyle w:val="NoSpacing"/>
              <w:rPr>
                <w:sz w:val="20"/>
                <w:szCs w:val="20"/>
              </w:rPr>
            </w:pPr>
          </w:p>
        </w:tc>
      </w:tr>
    </w:tbl>
    <w:p w:rsidR="00D9188F" w:rsidRDefault="00D9188F" w:rsidP="00D9188F">
      <w:pPr>
        <w:pStyle w:val="NoSpacing"/>
      </w:pPr>
    </w:p>
    <w:p w:rsidR="00D90FAE" w:rsidRDefault="000B03AA"/>
    <w:sectPr w:rsidR="00D90FAE" w:rsidSect="00D9188F">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3AA" w:rsidRDefault="000B03AA" w:rsidP="00D9188F">
      <w:pPr>
        <w:spacing w:after="0" w:line="240" w:lineRule="auto"/>
      </w:pPr>
      <w:r>
        <w:separator/>
      </w:r>
    </w:p>
  </w:endnote>
  <w:endnote w:type="continuationSeparator" w:id="0">
    <w:p w:rsidR="000B03AA" w:rsidRDefault="000B03AA" w:rsidP="00D9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3AA" w:rsidRDefault="000B03AA" w:rsidP="00D9188F">
      <w:pPr>
        <w:spacing w:after="0" w:line="240" w:lineRule="auto"/>
      </w:pPr>
      <w:r>
        <w:separator/>
      </w:r>
    </w:p>
  </w:footnote>
  <w:footnote w:type="continuationSeparator" w:id="0">
    <w:p w:rsidR="000B03AA" w:rsidRDefault="000B03AA" w:rsidP="00D91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29" w:type="dxa"/>
      <w:tblLook w:val="04A0" w:firstRow="1" w:lastRow="0" w:firstColumn="1" w:lastColumn="0" w:noHBand="0" w:noVBand="1"/>
    </w:tblPr>
    <w:tblGrid>
      <w:gridCol w:w="3681"/>
      <w:gridCol w:w="10348"/>
    </w:tblGrid>
    <w:tr w:rsidR="00D9188F" w:rsidTr="00E0503B">
      <w:tc>
        <w:tcPr>
          <w:tcW w:w="3681" w:type="dxa"/>
        </w:tcPr>
        <w:p w:rsidR="00D9188F" w:rsidRDefault="00D9188F" w:rsidP="00D9188F">
          <w:pPr>
            <w:pStyle w:val="NoSpacing"/>
          </w:pPr>
          <w:r>
            <w:t xml:space="preserve">Department </w:t>
          </w:r>
        </w:p>
      </w:tc>
      <w:tc>
        <w:tcPr>
          <w:tcW w:w="10348" w:type="dxa"/>
        </w:tcPr>
        <w:p w:rsidR="00D9188F" w:rsidRDefault="00D9188F" w:rsidP="00D9188F">
          <w:pPr>
            <w:pStyle w:val="NoSpacing"/>
          </w:pPr>
          <w:r>
            <w:t>HSC</w:t>
          </w:r>
        </w:p>
      </w:tc>
    </w:tr>
    <w:tr w:rsidR="00D9188F" w:rsidTr="00E0503B">
      <w:tc>
        <w:tcPr>
          <w:tcW w:w="3681" w:type="dxa"/>
        </w:tcPr>
        <w:p w:rsidR="00D9188F" w:rsidRDefault="00D9188F" w:rsidP="00D9188F">
          <w:pPr>
            <w:pStyle w:val="NoSpacing"/>
          </w:pPr>
          <w:r>
            <w:t xml:space="preserve">Key Stage </w:t>
          </w:r>
        </w:p>
      </w:tc>
      <w:tc>
        <w:tcPr>
          <w:tcW w:w="10348" w:type="dxa"/>
        </w:tcPr>
        <w:p w:rsidR="00D9188F" w:rsidRDefault="00D9188F" w:rsidP="00D9188F">
          <w:pPr>
            <w:pStyle w:val="NoSpacing"/>
          </w:pPr>
          <w:r>
            <w:t>KEY STAGE 4</w:t>
          </w:r>
        </w:p>
      </w:tc>
    </w:tr>
    <w:tr w:rsidR="00D9188F" w:rsidTr="00E0503B">
      <w:tc>
        <w:tcPr>
          <w:tcW w:w="3681" w:type="dxa"/>
        </w:tcPr>
        <w:p w:rsidR="00D9188F" w:rsidRDefault="00D9188F" w:rsidP="00D9188F">
          <w:pPr>
            <w:pStyle w:val="NoSpacing"/>
          </w:pPr>
          <w:r>
            <w:t xml:space="preserve">Course Level </w:t>
          </w:r>
        </w:p>
      </w:tc>
      <w:tc>
        <w:tcPr>
          <w:tcW w:w="10348" w:type="dxa"/>
        </w:tcPr>
        <w:p w:rsidR="00D9188F" w:rsidRDefault="00D9188F" w:rsidP="00D9188F">
          <w:pPr>
            <w:pStyle w:val="NoSpacing"/>
          </w:pPr>
          <w:r>
            <w:t>BTEC LEVEL 2</w:t>
          </w:r>
        </w:p>
      </w:tc>
    </w:tr>
    <w:tr w:rsidR="00D9188F" w:rsidTr="00E0503B">
      <w:tc>
        <w:tcPr>
          <w:tcW w:w="3681" w:type="dxa"/>
        </w:tcPr>
        <w:p w:rsidR="00D9188F" w:rsidRDefault="00D9188F" w:rsidP="00D9188F">
          <w:pPr>
            <w:pStyle w:val="NoSpacing"/>
          </w:pPr>
          <w:r>
            <w:t xml:space="preserve">Exam Board </w:t>
          </w:r>
        </w:p>
      </w:tc>
      <w:tc>
        <w:tcPr>
          <w:tcW w:w="10348" w:type="dxa"/>
        </w:tcPr>
        <w:p w:rsidR="00D9188F" w:rsidRDefault="00D9188F" w:rsidP="00D9188F">
          <w:pPr>
            <w:pStyle w:val="NoSpacing"/>
          </w:pPr>
          <w:r>
            <w:t>EDEXCEL</w:t>
          </w:r>
        </w:p>
      </w:tc>
    </w:tr>
  </w:tbl>
  <w:p w:rsidR="00D9188F" w:rsidRDefault="00D91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8F"/>
    <w:rsid w:val="000B03AA"/>
    <w:rsid w:val="002B1399"/>
    <w:rsid w:val="00326EA4"/>
    <w:rsid w:val="00417661"/>
    <w:rsid w:val="006A73CE"/>
    <w:rsid w:val="00D9188F"/>
    <w:rsid w:val="00F2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F4ED"/>
  <w15:chartTrackingRefBased/>
  <w15:docId w15:val="{C26C7EA7-E176-48F7-978C-913FABD6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88F"/>
    <w:pPr>
      <w:spacing w:after="0" w:line="240" w:lineRule="auto"/>
    </w:pPr>
  </w:style>
  <w:style w:type="character" w:styleId="Hyperlink">
    <w:name w:val="Hyperlink"/>
    <w:basedOn w:val="DefaultParagraphFont"/>
    <w:uiPriority w:val="99"/>
    <w:unhideWhenUsed/>
    <w:rsid w:val="00D9188F"/>
    <w:rPr>
      <w:color w:val="0563C1" w:themeColor="hyperlink"/>
      <w:u w:val="single"/>
    </w:rPr>
  </w:style>
  <w:style w:type="paragraph" w:styleId="Header">
    <w:name w:val="header"/>
    <w:basedOn w:val="Normal"/>
    <w:link w:val="HeaderChar"/>
    <w:uiPriority w:val="99"/>
    <w:unhideWhenUsed/>
    <w:rsid w:val="00D91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88F"/>
  </w:style>
  <w:style w:type="paragraph" w:styleId="Footer">
    <w:name w:val="footer"/>
    <w:basedOn w:val="Normal"/>
    <w:link w:val="FooterChar"/>
    <w:uiPriority w:val="99"/>
    <w:unhideWhenUsed/>
    <w:rsid w:val="00D91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88F"/>
  </w:style>
  <w:style w:type="table" w:styleId="TableGrid">
    <w:name w:val="Table Grid"/>
    <w:basedOn w:val="TableNormal"/>
    <w:uiPriority w:val="39"/>
    <w:rsid w:val="00D9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Central Learning Partnership Trust</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Sheldon</dc:creator>
  <cp:keywords/>
  <dc:description/>
  <cp:lastModifiedBy>sarah</cp:lastModifiedBy>
  <cp:revision>2</cp:revision>
  <dcterms:created xsi:type="dcterms:W3CDTF">2022-10-18T12:53:00Z</dcterms:created>
  <dcterms:modified xsi:type="dcterms:W3CDTF">2022-10-18T12:53:00Z</dcterms:modified>
</cp:coreProperties>
</file>